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FB8A" w14:textId="77777777" w:rsidR="005D5AA9" w:rsidRPr="005D5AA9" w:rsidRDefault="005D5AA9" w:rsidP="005D5AA9">
      <w:pPr>
        <w:autoSpaceDE w:val="0"/>
        <w:autoSpaceDN w:val="0"/>
        <w:adjustRightInd w:val="0"/>
        <w:spacing w:after="0" w:line="360" w:lineRule="auto"/>
        <w:rPr>
          <w:rFonts w:ascii="Times New Roman" w:eastAsia="Calibri" w:hAnsi="Times New Roman" w:cs="Times New Roman"/>
          <w:b/>
          <w:bCs/>
          <w:sz w:val="28"/>
          <w:szCs w:val="28"/>
        </w:rPr>
      </w:pPr>
      <w:r w:rsidRPr="005D5AA9">
        <w:rPr>
          <w:rFonts w:ascii="Times New Roman" w:eastAsia="Calibri" w:hAnsi="Times New Roman" w:cs="Times New Roman"/>
          <w:b/>
          <w:bCs/>
          <w:sz w:val="28"/>
          <w:szCs w:val="28"/>
        </w:rPr>
        <w:t>3. Modern Economic Growth. Article discussion.</w:t>
      </w:r>
    </w:p>
    <w:p w14:paraId="7354C176" w14:textId="5B4B36A2" w:rsidR="005D5AA9" w:rsidRPr="005D5AA9" w:rsidRDefault="005D5AA9" w:rsidP="005D5AA9">
      <w:pPr>
        <w:spacing w:after="160" w:line="360" w:lineRule="auto"/>
        <w:rPr>
          <w:rFonts w:ascii="Times New Roman" w:eastAsia="Calibri" w:hAnsi="Times New Roman" w:cs="Times New Roman"/>
          <w:sz w:val="22"/>
        </w:rPr>
      </w:pPr>
      <w:r w:rsidRPr="005D5AA9">
        <w:rPr>
          <w:rFonts w:ascii="Times New Roman" w:eastAsia="Calibri" w:hAnsi="Times New Roman" w:cs="Times New Roman"/>
          <w:sz w:val="22"/>
        </w:rPr>
        <w:t xml:space="preserve">Article: Broadberry, Stephen. 2016. </w:t>
      </w:r>
      <w:r w:rsidRPr="005D5AA9">
        <w:rPr>
          <w:rFonts w:ascii="Times New Roman" w:eastAsia="Calibri" w:hAnsi="Times New Roman" w:cs="Times New Roman"/>
          <w:i/>
          <w:sz w:val="22"/>
        </w:rPr>
        <w:t>The characteristics of modern economic growth revisited.</w:t>
      </w:r>
      <w:r w:rsidRPr="005D5AA9">
        <w:rPr>
          <w:rFonts w:ascii="Times New Roman" w:eastAsia="Calibri" w:hAnsi="Times New Roman" w:cs="Times New Roman"/>
          <w:sz w:val="22"/>
        </w:rPr>
        <w:t xml:space="preserve"> Nuffield College discussion paper (February). Oxford University</w:t>
      </w:r>
      <w:r w:rsidR="000D29D4">
        <w:rPr>
          <w:rFonts w:ascii="Times New Roman" w:eastAsia="Calibri" w:hAnsi="Times New Roman" w:cs="Times New Roman"/>
          <w:sz w:val="22"/>
        </w:rPr>
        <w:t xml:space="preserve"> (available from Aquila)</w:t>
      </w:r>
    </w:p>
    <w:p w14:paraId="158EAE07" w14:textId="77777777" w:rsidR="005D5AA9" w:rsidRPr="005D5AA9" w:rsidRDefault="005D5AA9" w:rsidP="005D5AA9">
      <w:pPr>
        <w:spacing w:after="160" w:line="360" w:lineRule="auto"/>
        <w:rPr>
          <w:rFonts w:ascii="Times New Roman" w:eastAsia="Calibri" w:hAnsi="Times New Roman" w:cs="Times New Roman"/>
          <w:sz w:val="22"/>
        </w:rPr>
      </w:pPr>
      <w:r w:rsidRPr="005D5AA9">
        <w:rPr>
          <w:rFonts w:ascii="Times New Roman" w:eastAsia="Calibri" w:hAnsi="Times New Roman" w:cs="Times New Roman"/>
          <w:sz w:val="22"/>
        </w:rPr>
        <w:t>Tasks for the students:</w:t>
      </w:r>
    </w:p>
    <w:p w14:paraId="1DB6F439" w14:textId="77777777" w:rsidR="005D5AA9" w:rsidRPr="005D5AA9" w:rsidRDefault="005D5AA9" w:rsidP="005D5AA9">
      <w:pPr>
        <w:numPr>
          <w:ilvl w:val="1"/>
          <w:numId w:val="1"/>
        </w:numPr>
        <w:spacing w:after="160" w:line="360" w:lineRule="auto"/>
        <w:contextualSpacing/>
        <w:rPr>
          <w:rFonts w:ascii="Times New Roman" w:eastAsia="Calibri" w:hAnsi="Times New Roman" w:cs="Times New Roman"/>
          <w:sz w:val="22"/>
        </w:rPr>
      </w:pPr>
      <w:r w:rsidRPr="005D5AA9">
        <w:rPr>
          <w:rFonts w:ascii="Times New Roman" w:eastAsia="Calibri" w:hAnsi="Times New Roman" w:cs="Times New Roman"/>
          <w:sz w:val="22"/>
        </w:rPr>
        <w:t>Read the paper carefully BEFORE the class</w:t>
      </w:r>
    </w:p>
    <w:p w14:paraId="0EC3F298" w14:textId="77777777" w:rsidR="005D5AA9" w:rsidRPr="005D5AA9" w:rsidRDefault="005D5AA9" w:rsidP="005D5AA9">
      <w:pPr>
        <w:numPr>
          <w:ilvl w:val="1"/>
          <w:numId w:val="1"/>
        </w:numPr>
        <w:spacing w:after="160" w:line="360" w:lineRule="auto"/>
        <w:contextualSpacing/>
        <w:rPr>
          <w:rFonts w:ascii="Times New Roman" w:eastAsia="Calibri" w:hAnsi="Times New Roman" w:cs="Times New Roman"/>
          <w:sz w:val="22"/>
        </w:rPr>
      </w:pPr>
      <w:r w:rsidRPr="005D5AA9">
        <w:rPr>
          <w:rFonts w:ascii="Times New Roman" w:eastAsia="Calibri" w:hAnsi="Times New Roman" w:cs="Times New Roman"/>
          <w:sz w:val="22"/>
        </w:rPr>
        <w:t>Try to answer the questions below</w:t>
      </w:r>
    </w:p>
    <w:p w14:paraId="0E3E7A6D" w14:textId="77777777" w:rsidR="005D5AA9" w:rsidRPr="005D5AA9" w:rsidRDefault="005D5AA9" w:rsidP="005D5AA9">
      <w:pPr>
        <w:numPr>
          <w:ilvl w:val="1"/>
          <w:numId w:val="1"/>
        </w:numPr>
        <w:spacing w:after="160" w:line="360" w:lineRule="auto"/>
        <w:contextualSpacing/>
        <w:rPr>
          <w:rFonts w:ascii="Times New Roman" w:eastAsia="Calibri" w:hAnsi="Times New Roman" w:cs="Times New Roman"/>
          <w:sz w:val="22"/>
        </w:rPr>
      </w:pPr>
      <w:r w:rsidRPr="005D5AA9">
        <w:rPr>
          <w:rFonts w:ascii="Times New Roman" w:eastAsia="Calibri" w:hAnsi="Times New Roman" w:cs="Times New Roman"/>
          <w:sz w:val="22"/>
        </w:rPr>
        <w:t>Participate in the group debate (your practical class group in week 3)</w:t>
      </w:r>
    </w:p>
    <w:p w14:paraId="05E6381E" w14:textId="77777777" w:rsidR="00EE398B" w:rsidRDefault="00EE398B" w:rsidP="005D5AA9">
      <w:pPr>
        <w:spacing w:after="160" w:line="360" w:lineRule="auto"/>
        <w:rPr>
          <w:rFonts w:ascii="Times New Roman" w:eastAsia="Calibri" w:hAnsi="Times New Roman" w:cs="Times New Roman"/>
          <w:sz w:val="22"/>
        </w:rPr>
      </w:pPr>
    </w:p>
    <w:p w14:paraId="1BBAFAED" w14:textId="70184099" w:rsidR="005D5AA9" w:rsidRPr="005D5AA9" w:rsidRDefault="005D5AA9" w:rsidP="005D5AA9">
      <w:pPr>
        <w:spacing w:after="160" w:line="360" w:lineRule="auto"/>
        <w:rPr>
          <w:rFonts w:ascii="Times New Roman" w:eastAsia="Calibri" w:hAnsi="Times New Roman" w:cs="Times New Roman"/>
          <w:sz w:val="22"/>
        </w:rPr>
      </w:pPr>
      <w:r w:rsidRPr="005D5AA9">
        <w:rPr>
          <w:rFonts w:ascii="Times New Roman" w:eastAsia="Calibri" w:hAnsi="Times New Roman" w:cs="Times New Roman"/>
          <w:sz w:val="22"/>
        </w:rPr>
        <w:t>Questions to be discussed/answered</w:t>
      </w:r>
      <w:r w:rsidR="00EE398B">
        <w:rPr>
          <w:rFonts w:ascii="Times New Roman" w:eastAsia="Calibri" w:hAnsi="Times New Roman" w:cs="Times New Roman"/>
          <w:sz w:val="22"/>
        </w:rPr>
        <w:t xml:space="preserve"> in the practical class</w:t>
      </w:r>
      <w:r w:rsidRPr="005D5AA9">
        <w:rPr>
          <w:rFonts w:ascii="Times New Roman" w:eastAsia="Calibri" w:hAnsi="Times New Roman" w:cs="Times New Roman"/>
          <w:sz w:val="22"/>
        </w:rPr>
        <w:t>:</w:t>
      </w:r>
    </w:p>
    <w:p w14:paraId="6F391DE0" w14:textId="3EA54006" w:rsidR="005D5AA9" w:rsidRPr="00EE398B" w:rsidRDefault="005D5AA9" w:rsidP="005D5AA9">
      <w:pPr>
        <w:numPr>
          <w:ilvl w:val="1"/>
          <w:numId w:val="3"/>
        </w:numPr>
        <w:spacing w:after="160" w:line="360" w:lineRule="auto"/>
        <w:contextualSpacing/>
        <w:rPr>
          <w:rFonts w:ascii="Times New Roman" w:eastAsia="Calibri" w:hAnsi="Times New Roman" w:cs="Times New Roman"/>
          <w:sz w:val="22"/>
        </w:rPr>
      </w:pPr>
      <w:bookmarkStart w:id="0" w:name="_Hlk65504686"/>
      <w:r w:rsidRPr="005D5AA9">
        <w:rPr>
          <w:rFonts w:ascii="Times New Roman" w:eastAsia="Calibri" w:hAnsi="Times New Roman" w:cs="Times New Roman"/>
          <w:sz w:val="22"/>
        </w:rPr>
        <w:t xml:space="preserve">Compare the six characteristics of modern economic growth formulated by Kuznets with the revision formulated by Broadberry and highlight the key differences. </w:t>
      </w:r>
      <w:bookmarkEnd w:id="0"/>
      <w:r w:rsidRPr="005D5AA9">
        <w:rPr>
          <w:rFonts w:ascii="Times New Roman" w:eastAsia="Calibri" w:hAnsi="Times New Roman" w:cs="Times New Roman"/>
          <w:sz w:val="22"/>
        </w:rPr>
        <w:t>You may (or may not) wish to organize the information into a table</w:t>
      </w:r>
      <w:r w:rsidR="00EE398B">
        <w:rPr>
          <w:rFonts w:ascii="Times New Roman" w:eastAsia="Calibri" w:hAnsi="Times New Roman" w:cs="Times New Roman"/>
          <w:sz w:val="22"/>
        </w:rPr>
        <w:t>, like, f</w:t>
      </w:r>
      <w:r w:rsidRPr="00EE398B">
        <w:rPr>
          <w:rFonts w:ascii="Times New Roman" w:eastAsia="Calibri" w:hAnsi="Times New Roman" w:cs="Times New Roman"/>
          <w:sz w:val="22"/>
        </w:rPr>
        <w:t>or example:</w:t>
      </w:r>
    </w:p>
    <w:p w14:paraId="7D3C1B06" w14:textId="77777777" w:rsidR="005D5AA9" w:rsidRPr="00EE398B" w:rsidRDefault="005D5AA9" w:rsidP="005D5AA9">
      <w:pPr>
        <w:spacing w:after="160" w:line="360" w:lineRule="auto"/>
        <w:ind w:left="720"/>
        <w:contextualSpacing/>
        <w:rPr>
          <w:rFonts w:ascii="Times New Roman" w:eastAsia="Calibri" w:hAnsi="Times New Roman" w:cs="Times New Roman"/>
          <w:sz w:val="22"/>
        </w:rPr>
      </w:pPr>
    </w:p>
    <w:tbl>
      <w:tblPr>
        <w:tblStyle w:val="TableGrid1"/>
        <w:tblW w:w="0" w:type="auto"/>
        <w:tblInd w:w="720" w:type="dxa"/>
        <w:tblLook w:val="04A0" w:firstRow="1" w:lastRow="0" w:firstColumn="1" w:lastColumn="0" w:noHBand="0" w:noVBand="1"/>
      </w:tblPr>
      <w:tblGrid>
        <w:gridCol w:w="1888"/>
        <w:gridCol w:w="2172"/>
        <w:gridCol w:w="2277"/>
        <w:gridCol w:w="1959"/>
      </w:tblGrid>
      <w:tr w:rsidR="005D5AA9" w:rsidRPr="005D5AA9" w14:paraId="526FF908" w14:textId="77777777" w:rsidTr="002A4061">
        <w:tc>
          <w:tcPr>
            <w:tcW w:w="1888" w:type="dxa"/>
          </w:tcPr>
          <w:p w14:paraId="05E5B0BE" w14:textId="77777777" w:rsidR="005D5AA9" w:rsidRPr="00EE398B" w:rsidRDefault="005D5AA9" w:rsidP="005D5AA9">
            <w:pPr>
              <w:spacing w:after="160" w:line="360" w:lineRule="auto"/>
              <w:contextualSpacing/>
              <w:rPr>
                <w:rFonts w:ascii="Times New Roman" w:eastAsia="Calibri" w:hAnsi="Times New Roman" w:cs="Times New Roman"/>
                <w:lang w:val="en-GB"/>
              </w:rPr>
            </w:pPr>
          </w:p>
        </w:tc>
        <w:tc>
          <w:tcPr>
            <w:tcW w:w="2172" w:type="dxa"/>
          </w:tcPr>
          <w:p w14:paraId="57BA0A5E" w14:textId="77777777" w:rsidR="005D5AA9" w:rsidRPr="005D5AA9" w:rsidRDefault="005D5AA9" w:rsidP="005D5AA9">
            <w:pPr>
              <w:spacing w:after="160" w:line="360" w:lineRule="auto"/>
              <w:contextualSpacing/>
              <w:rPr>
                <w:rFonts w:ascii="Times New Roman" w:eastAsia="Calibri" w:hAnsi="Times New Roman" w:cs="Times New Roman"/>
              </w:rPr>
            </w:pPr>
            <w:r w:rsidRPr="005D5AA9">
              <w:rPr>
                <w:rFonts w:ascii="Times New Roman" w:eastAsia="Calibri" w:hAnsi="Times New Roman" w:cs="Times New Roman"/>
              </w:rPr>
              <w:t>Kuznets</w:t>
            </w:r>
          </w:p>
        </w:tc>
        <w:tc>
          <w:tcPr>
            <w:tcW w:w="2277" w:type="dxa"/>
          </w:tcPr>
          <w:p w14:paraId="172C8B79" w14:textId="77777777" w:rsidR="005D5AA9" w:rsidRPr="005D5AA9" w:rsidRDefault="005D5AA9" w:rsidP="005D5AA9">
            <w:pPr>
              <w:spacing w:after="160" w:line="360" w:lineRule="auto"/>
              <w:contextualSpacing/>
              <w:rPr>
                <w:rFonts w:ascii="Times New Roman" w:eastAsia="Calibri" w:hAnsi="Times New Roman" w:cs="Times New Roman"/>
              </w:rPr>
            </w:pPr>
            <w:r w:rsidRPr="005D5AA9">
              <w:rPr>
                <w:rFonts w:ascii="Times New Roman" w:eastAsia="Calibri" w:hAnsi="Times New Roman" w:cs="Times New Roman"/>
              </w:rPr>
              <w:t>Broadberry</w:t>
            </w:r>
          </w:p>
        </w:tc>
        <w:tc>
          <w:tcPr>
            <w:tcW w:w="1959" w:type="dxa"/>
          </w:tcPr>
          <w:p w14:paraId="22EF53D6" w14:textId="77777777" w:rsidR="005D5AA9" w:rsidRPr="005D5AA9" w:rsidRDefault="005D5AA9" w:rsidP="005D5AA9">
            <w:pPr>
              <w:spacing w:after="160" w:line="360" w:lineRule="auto"/>
              <w:contextualSpacing/>
              <w:rPr>
                <w:rFonts w:ascii="Times New Roman" w:eastAsia="Calibri" w:hAnsi="Times New Roman" w:cs="Times New Roman"/>
              </w:rPr>
            </w:pPr>
            <w:r w:rsidRPr="005D5AA9">
              <w:rPr>
                <w:rFonts w:ascii="Times New Roman" w:eastAsia="Calibri" w:hAnsi="Times New Roman" w:cs="Times New Roman"/>
              </w:rPr>
              <w:t>Differences</w:t>
            </w:r>
          </w:p>
        </w:tc>
      </w:tr>
      <w:tr w:rsidR="005D5AA9" w:rsidRPr="005D5AA9" w14:paraId="02D175DB" w14:textId="77777777" w:rsidTr="002A4061">
        <w:tc>
          <w:tcPr>
            <w:tcW w:w="1888" w:type="dxa"/>
          </w:tcPr>
          <w:p w14:paraId="2CB17BE7" w14:textId="77777777" w:rsidR="005D5AA9" w:rsidRPr="005D5AA9" w:rsidRDefault="005D5AA9" w:rsidP="005D5AA9">
            <w:pPr>
              <w:spacing w:after="160" w:line="360" w:lineRule="auto"/>
              <w:contextualSpacing/>
              <w:rPr>
                <w:rFonts w:ascii="Times New Roman" w:eastAsia="Calibri" w:hAnsi="Times New Roman" w:cs="Times New Roman"/>
              </w:rPr>
            </w:pPr>
            <w:r w:rsidRPr="005D5AA9">
              <w:rPr>
                <w:rFonts w:ascii="Times New Roman" w:eastAsia="Calibri" w:hAnsi="Times New Roman" w:cs="Times New Roman"/>
              </w:rPr>
              <w:t>1</w:t>
            </w:r>
          </w:p>
        </w:tc>
        <w:tc>
          <w:tcPr>
            <w:tcW w:w="2172" w:type="dxa"/>
          </w:tcPr>
          <w:p w14:paraId="2FEB1826"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2277" w:type="dxa"/>
          </w:tcPr>
          <w:p w14:paraId="690A2B5D"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1959" w:type="dxa"/>
          </w:tcPr>
          <w:p w14:paraId="462E8C84" w14:textId="77777777" w:rsidR="005D5AA9" w:rsidRPr="005D5AA9" w:rsidRDefault="005D5AA9" w:rsidP="005D5AA9">
            <w:pPr>
              <w:spacing w:after="160" w:line="360" w:lineRule="auto"/>
              <w:contextualSpacing/>
              <w:rPr>
                <w:rFonts w:ascii="Times New Roman" w:eastAsia="Calibri" w:hAnsi="Times New Roman" w:cs="Times New Roman"/>
              </w:rPr>
            </w:pPr>
          </w:p>
        </w:tc>
      </w:tr>
      <w:tr w:rsidR="005D5AA9" w:rsidRPr="005D5AA9" w14:paraId="20C1C64B" w14:textId="77777777" w:rsidTr="002A4061">
        <w:tc>
          <w:tcPr>
            <w:tcW w:w="1888" w:type="dxa"/>
          </w:tcPr>
          <w:p w14:paraId="38A2F421" w14:textId="77777777" w:rsidR="005D5AA9" w:rsidRPr="005D5AA9" w:rsidRDefault="005D5AA9" w:rsidP="005D5AA9">
            <w:pPr>
              <w:spacing w:after="160" w:line="360" w:lineRule="auto"/>
              <w:contextualSpacing/>
              <w:rPr>
                <w:rFonts w:ascii="Times New Roman" w:eastAsia="Calibri" w:hAnsi="Times New Roman" w:cs="Times New Roman"/>
              </w:rPr>
            </w:pPr>
            <w:r w:rsidRPr="005D5AA9">
              <w:rPr>
                <w:rFonts w:ascii="Times New Roman" w:eastAsia="Calibri" w:hAnsi="Times New Roman" w:cs="Times New Roman"/>
              </w:rPr>
              <w:t>2</w:t>
            </w:r>
          </w:p>
        </w:tc>
        <w:tc>
          <w:tcPr>
            <w:tcW w:w="2172" w:type="dxa"/>
          </w:tcPr>
          <w:p w14:paraId="5E7C57DA"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2277" w:type="dxa"/>
          </w:tcPr>
          <w:p w14:paraId="63432A13"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1959" w:type="dxa"/>
          </w:tcPr>
          <w:p w14:paraId="22B1F99D" w14:textId="77777777" w:rsidR="005D5AA9" w:rsidRPr="005D5AA9" w:rsidRDefault="005D5AA9" w:rsidP="005D5AA9">
            <w:pPr>
              <w:spacing w:after="160" w:line="360" w:lineRule="auto"/>
              <w:contextualSpacing/>
              <w:rPr>
                <w:rFonts w:ascii="Times New Roman" w:eastAsia="Calibri" w:hAnsi="Times New Roman" w:cs="Times New Roman"/>
              </w:rPr>
            </w:pPr>
          </w:p>
        </w:tc>
      </w:tr>
      <w:tr w:rsidR="005D5AA9" w:rsidRPr="005D5AA9" w14:paraId="75092FD6" w14:textId="77777777" w:rsidTr="002A4061">
        <w:tc>
          <w:tcPr>
            <w:tcW w:w="1888" w:type="dxa"/>
          </w:tcPr>
          <w:p w14:paraId="44E0DEF2" w14:textId="77777777" w:rsidR="005D5AA9" w:rsidRPr="005D5AA9" w:rsidRDefault="005D5AA9" w:rsidP="005D5AA9">
            <w:pPr>
              <w:spacing w:after="160" w:line="360" w:lineRule="auto"/>
              <w:contextualSpacing/>
              <w:rPr>
                <w:rFonts w:ascii="Times New Roman" w:eastAsia="Calibri" w:hAnsi="Times New Roman" w:cs="Times New Roman"/>
              </w:rPr>
            </w:pPr>
            <w:r w:rsidRPr="005D5AA9">
              <w:rPr>
                <w:rFonts w:ascii="Times New Roman" w:eastAsia="Calibri" w:hAnsi="Times New Roman" w:cs="Times New Roman"/>
              </w:rPr>
              <w:t>3</w:t>
            </w:r>
          </w:p>
        </w:tc>
        <w:tc>
          <w:tcPr>
            <w:tcW w:w="2172" w:type="dxa"/>
          </w:tcPr>
          <w:p w14:paraId="01D5D07F"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2277" w:type="dxa"/>
          </w:tcPr>
          <w:p w14:paraId="02AC3ECE"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1959" w:type="dxa"/>
          </w:tcPr>
          <w:p w14:paraId="24F20DD3" w14:textId="77777777" w:rsidR="005D5AA9" w:rsidRPr="005D5AA9" w:rsidRDefault="005D5AA9" w:rsidP="005D5AA9">
            <w:pPr>
              <w:spacing w:after="160" w:line="360" w:lineRule="auto"/>
              <w:contextualSpacing/>
              <w:rPr>
                <w:rFonts w:ascii="Times New Roman" w:eastAsia="Calibri" w:hAnsi="Times New Roman" w:cs="Times New Roman"/>
              </w:rPr>
            </w:pPr>
          </w:p>
        </w:tc>
      </w:tr>
      <w:tr w:rsidR="005D5AA9" w:rsidRPr="005D5AA9" w14:paraId="6F2C0C71" w14:textId="77777777" w:rsidTr="002A4061">
        <w:tc>
          <w:tcPr>
            <w:tcW w:w="1888" w:type="dxa"/>
          </w:tcPr>
          <w:p w14:paraId="7C7D1548" w14:textId="77777777" w:rsidR="005D5AA9" w:rsidRPr="005D5AA9" w:rsidRDefault="005D5AA9" w:rsidP="005D5AA9">
            <w:pPr>
              <w:spacing w:after="160" w:line="360" w:lineRule="auto"/>
              <w:contextualSpacing/>
              <w:rPr>
                <w:rFonts w:ascii="Times New Roman" w:eastAsia="Calibri" w:hAnsi="Times New Roman" w:cs="Times New Roman"/>
              </w:rPr>
            </w:pPr>
            <w:r w:rsidRPr="005D5AA9">
              <w:rPr>
                <w:rFonts w:ascii="Times New Roman" w:eastAsia="Calibri" w:hAnsi="Times New Roman" w:cs="Times New Roman"/>
              </w:rPr>
              <w:t>4</w:t>
            </w:r>
          </w:p>
        </w:tc>
        <w:tc>
          <w:tcPr>
            <w:tcW w:w="2172" w:type="dxa"/>
          </w:tcPr>
          <w:p w14:paraId="65A664C3"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2277" w:type="dxa"/>
          </w:tcPr>
          <w:p w14:paraId="3B74858D"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1959" w:type="dxa"/>
          </w:tcPr>
          <w:p w14:paraId="00343D9B" w14:textId="77777777" w:rsidR="005D5AA9" w:rsidRPr="005D5AA9" w:rsidRDefault="005D5AA9" w:rsidP="005D5AA9">
            <w:pPr>
              <w:spacing w:after="160" w:line="360" w:lineRule="auto"/>
              <w:contextualSpacing/>
              <w:rPr>
                <w:rFonts w:ascii="Times New Roman" w:eastAsia="Calibri" w:hAnsi="Times New Roman" w:cs="Times New Roman"/>
              </w:rPr>
            </w:pPr>
          </w:p>
        </w:tc>
      </w:tr>
      <w:tr w:rsidR="005D5AA9" w:rsidRPr="005D5AA9" w14:paraId="21A2BEEE" w14:textId="77777777" w:rsidTr="002A4061">
        <w:tc>
          <w:tcPr>
            <w:tcW w:w="1888" w:type="dxa"/>
          </w:tcPr>
          <w:p w14:paraId="07E6408B" w14:textId="77777777" w:rsidR="005D5AA9" w:rsidRPr="005D5AA9" w:rsidRDefault="005D5AA9" w:rsidP="005D5AA9">
            <w:pPr>
              <w:spacing w:after="160" w:line="360" w:lineRule="auto"/>
              <w:contextualSpacing/>
              <w:rPr>
                <w:rFonts w:ascii="Times New Roman" w:eastAsia="Calibri" w:hAnsi="Times New Roman" w:cs="Times New Roman"/>
              </w:rPr>
            </w:pPr>
            <w:r w:rsidRPr="005D5AA9">
              <w:rPr>
                <w:rFonts w:ascii="Times New Roman" w:eastAsia="Calibri" w:hAnsi="Times New Roman" w:cs="Times New Roman"/>
              </w:rPr>
              <w:t>5</w:t>
            </w:r>
          </w:p>
        </w:tc>
        <w:tc>
          <w:tcPr>
            <w:tcW w:w="2172" w:type="dxa"/>
          </w:tcPr>
          <w:p w14:paraId="2746CF2B"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2277" w:type="dxa"/>
          </w:tcPr>
          <w:p w14:paraId="628660B6"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1959" w:type="dxa"/>
          </w:tcPr>
          <w:p w14:paraId="583919E1" w14:textId="77777777" w:rsidR="005D5AA9" w:rsidRPr="005D5AA9" w:rsidRDefault="005D5AA9" w:rsidP="005D5AA9">
            <w:pPr>
              <w:spacing w:after="160" w:line="360" w:lineRule="auto"/>
              <w:contextualSpacing/>
              <w:rPr>
                <w:rFonts w:ascii="Times New Roman" w:eastAsia="Calibri" w:hAnsi="Times New Roman" w:cs="Times New Roman"/>
              </w:rPr>
            </w:pPr>
          </w:p>
        </w:tc>
      </w:tr>
      <w:tr w:rsidR="005D5AA9" w:rsidRPr="005D5AA9" w14:paraId="063F8058" w14:textId="77777777" w:rsidTr="002A4061">
        <w:tc>
          <w:tcPr>
            <w:tcW w:w="1888" w:type="dxa"/>
          </w:tcPr>
          <w:p w14:paraId="7B838367" w14:textId="77777777" w:rsidR="005D5AA9" w:rsidRPr="005D5AA9" w:rsidRDefault="005D5AA9" w:rsidP="005D5AA9">
            <w:pPr>
              <w:spacing w:after="160" w:line="360" w:lineRule="auto"/>
              <w:contextualSpacing/>
              <w:rPr>
                <w:rFonts w:ascii="Times New Roman" w:eastAsia="Calibri" w:hAnsi="Times New Roman" w:cs="Times New Roman"/>
              </w:rPr>
            </w:pPr>
            <w:r w:rsidRPr="005D5AA9">
              <w:rPr>
                <w:rFonts w:ascii="Times New Roman" w:eastAsia="Calibri" w:hAnsi="Times New Roman" w:cs="Times New Roman"/>
              </w:rPr>
              <w:t>6</w:t>
            </w:r>
          </w:p>
        </w:tc>
        <w:tc>
          <w:tcPr>
            <w:tcW w:w="2172" w:type="dxa"/>
          </w:tcPr>
          <w:p w14:paraId="7F55098A"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2277" w:type="dxa"/>
          </w:tcPr>
          <w:p w14:paraId="7C5BEE89" w14:textId="77777777" w:rsidR="005D5AA9" w:rsidRPr="005D5AA9" w:rsidRDefault="005D5AA9" w:rsidP="005D5AA9">
            <w:pPr>
              <w:spacing w:after="160" w:line="360" w:lineRule="auto"/>
              <w:contextualSpacing/>
              <w:rPr>
                <w:rFonts w:ascii="Times New Roman" w:eastAsia="Calibri" w:hAnsi="Times New Roman" w:cs="Times New Roman"/>
              </w:rPr>
            </w:pPr>
          </w:p>
        </w:tc>
        <w:tc>
          <w:tcPr>
            <w:tcW w:w="1959" w:type="dxa"/>
          </w:tcPr>
          <w:p w14:paraId="6DDB0443" w14:textId="77777777" w:rsidR="005D5AA9" w:rsidRPr="005D5AA9" w:rsidRDefault="005D5AA9" w:rsidP="005D5AA9">
            <w:pPr>
              <w:spacing w:after="160" w:line="360" w:lineRule="auto"/>
              <w:contextualSpacing/>
              <w:rPr>
                <w:rFonts w:ascii="Times New Roman" w:eastAsia="Calibri" w:hAnsi="Times New Roman" w:cs="Times New Roman"/>
              </w:rPr>
            </w:pPr>
          </w:p>
        </w:tc>
      </w:tr>
    </w:tbl>
    <w:p w14:paraId="4D2B6923" w14:textId="77777777" w:rsidR="005D5AA9" w:rsidRPr="005D5AA9" w:rsidRDefault="005D5AA9" w:rsidP="005D5AA9">
      <w:pPr>
        <w:spacing w:after="160" w:line="360" w:lineRule="auto"/>
        <w:ind w:left="720"/>
        <w:contextualSpacing/>
        <w:rPr>
          <w:rFonts w:ascii="Times New Roman" w:eastAsia="Calibri" w:hAnsi="Times New Roman" w:cs="Times New Roman"/>
          <w:sz w:val="22"/>
          <w:lang w:val="pt-PT"/>
        </w:rPr>
      </w:pPr>
    </w:p>
    <w:p w14:paraId="156D5443" w14:textId="77777777" w:rsidR="005D5AA9" w:rsidRPr="005D5AA9" w:rsidRDefault="005D5AA9" w:rsidP="005D5AA9">
      <w:pPr>
        <w:numPr>
          <w:ilvl w:val="1"/>
          <w:numId w:val="3"/>
        </w:numPr>
        <w:spacing w:after="160" w:line="360" w:lineRule="auto"/>
        <w:contextualSpacing/>
        <w:rPr>
          <w:rFonts w:ascii="Times New Roman" w:eastAsia="Calibri" w:hAnsi="Times New Roman" w:cs="Times New Roman"/>
          <w:sz w:val="22"/>
        </w:rPr>
      </w:pPr>
      <w:r w:rsidRPr="005D5AA9">
        <w:rPr>
          <w:rFonts w:ascii="Times New Roman" w:eastAsia="Calibri" w:hAnsi="Times New Roman" w:cs="Times New Roman"/>
          <w:sz w:val="22"/>
        </w:rPr>
        <w:t>Broadberry argues that his reformulation of Kuznets’ MEG characteristics is based on theoretical and empirical progress in the study of economic history, emphasising the importance of the “recall” of the inductive approach.</w:t>
      </w:r>
    </w:p>
    <w:p w14:paraId="1E463B13" w14:textId="77777777" w:rsidR="005D5AA9" w:rsidRPr="005D5AA9" w:rsidRDefault="005D5AA9" w:rsidP="005D5AA9">
      <w:pPr>
        <w:numPr>
          <w:ilvl w:val="0"/>
          <w:numId w:val="2"/>
        </w:numPr>
        <w:spacing w:after="160" w:line="360" w:lineRule="auto"/>
        <w:contextualSpacing/>
        <w:rPr>
          <w:rFonts w:ascii="Times New Roman" w:eastAsia="Calibri" w:hAnsi="Times New Roman" w:cs="Times New Roman"/>
          <w:sz w:val="22"/>
        </w:rPr>
      </w:pPr>
      <w:r w:rsidRPr="005D5AA9">
        <w:rPr>
          <w:rFonts w:ascii="Times New Roman" w:eastAsia="Calibri" w:hAnsi="Times New Roman" w:cs="Times New Roman"/>
          <w:sz w:val="22"/>
        </w:rPr>
        <w:t>Compare and contrast inductive and deductive approaches to economic studies.</w:t>
      </w:r>
    </w:p>
    <w:p w14:paraId="07550C3E" w14:textId="25570433" w:rsidR="005D5AA9" w:rsidRPr="005D5AA9" w:rsidRDefault="005D5AA9" w:rsidP="005D5AA9">
      <w:pPr>
        <w:numPr>
          <w:ilvl w:val="0"/>
          <w:numId w:val="2"/>
        </w:numPr>
        <w:spacing w:after="160" w:line="360" w:lineRule="auto"/>
        <w:contextualSpacing/>
        <w:rPr>
          <w:rFonts w:ascii="Times New Roman" w:eastAsia="Calibri" w:hAnsi="Times New Roman" w:cs="Times New Roman"/>
          <w:sz w:val="22"/>
        </w:rPr>
      </w:pPr>
      <w:r w:rsidRPr="005D5AA9">
        <w:rPr>
          <w:rFonts w:ascii="Times New Roman" w:eastAsia="Calibri" w:hAnsi="Times New Roman" w:cs="Times New Roman"/>
          <w:sz w:val="22"/>
        </w:rPr>
        <w:t>Studies of economic history called upon by Broadberry show that different countries/regions in different periods may have followed different economic trajectories (not better or worse, but different). What does this tell you about the relative importance of different (inductive/deductive) approaches</w:t>
      </w:r>
      <w:r w:rsidR="00EE398B">
        <w:rPr>
          <w:rFonts w:ascii="Times New Roman" w:eastAsia="Calibri" w:hAnsi="Times New Roman" w:cs="Times New Roman"/>
          <w:sz w:val="22"/>
        </w:rPr>
        <w:t>, and about the relationship between theory and empirics, in economic studies?</w:t>
      </w:r>
    </w:p>
    <w:p w14:paraId="33669A6F" w14:textId="702BD7A8" w:rsidR="005D5AA9" w:rsidRPr="00EE398B" w:rsidRDefault="005D5AA9" w:rsidP="00EE398B">
      <w:pPr>
        <w:numPr>
          <w:ilvl w:val="0"/>
          <w:numId w:val="2"/>
        </w:numPr>
        <w:spacing w:after="160" w:line="360" w:lineRule="auto"/>
        <w:contextualSpacing/>
        <w:rPr>
          <w:rFonts w:ascii="Times New Roman" w:eastAsia="Calibri" w:hAnsi="Times New Roman" w:cs="Times New Roman"/>
          <w:sz w:val="22"/>
        </w:rPr>
      </w:pPr>
      <w:r w:rsidRPr="005D5AA9">
        <w:rPr>
          <w:rFonts w:ascii="Times New Roman" w:eastAsia="Calibri" w:hAnsi="Times New Roman" w:cs="Times New Roman"/>
          <w:sz w:val="22"/>
        </w:rPr>
        <w:t xml:space="preserve">Identify the data that Broadberry </w:t>
      </w:r>
      <w:r w:rsidR="00EE398B">
        <w:rPr>
          <w:rFonts w:ascii="Times New Roman" w:eastAsia="Calibri" w:hAnsi="Times New Roman" w:cs="Times New Roman"/>
          <w:sz w:val="22"/>
        </w:rPr>
        <w:t>utilised</w:t>
      </w:r>
      <w:r w:rsidRPr="005D5AA9">
        <w:rPr>
          <w:rFonts w:ascii="Times New Roman" w:eastAsia="Calibri" w:hAnsi="Times New Roman" w:cs="Times New Roman"/>
          <w:sz w:val="22"/>
        </w:rPr>
        <w:t xml:space="preserve"> for his reappraisal of Kuznets MEG characteristics, and how </w:t>
      </w:r>
      <w:r w:rsidR="00EE398B">
        <w:rPr>
          <w:rFonts w:ascii="Times New Roman" w:eastAsia="Calibri" w:hAnsi="Times New Roman" w:cs="Times New Roman"/>
          <w:sz w:val="22"/>
        </w:rPr>
        <w:t>that</w:t>
      </w:r>
      <w:r w:rsidRPr="005D5AA9">
        <w:rPr>
          <w:rFonts w:ascii="Times New Roman" w:eastAsia="Calibri" w:hAnsi="Times New Roman" w:cs="Times New Roman"/>
          <w:sz w:val="22"/>
        </w:rPr>
        <w:t xml:space="preserve"> was obtained</w:t>
      </w:r>
      <w:r w:rsidR="00EE398B">
        <w:rPr>
          <w:rFonts w:ascii="Times New Roman" w:eastAsia="Calibri" w:hAnsi="Times New Roman" w:cs="Times New Roman"/>
          <w:sz w:val="22"/>
        </w:rPr>
        <w:t xml:space="preserve">, </w:t>
      </w:r>
      <w:r w:rsidRPr="00EE398B">
        <w:rPr>
          <w:rFonts w:ascii="Times New Roman" w:eastAsia="Calibri" w:hAnsi="Times New Roman" w:cs="Times New Roman"/>
          <w:sz w:val="22"/>
        </w:rPr>
        <w:t>an</w:t>
      </w:r>
      <w:r w:rsidR="00EE398B">
        <w:rPr>
          <w:rFonts w:ascii="Times New Roman" w:eastAsia="Calibri" w:hAnsi="Times New Roman" w:cs="Times New Roman"/>
          <w:sz w:val="22"/>
        </w:rPr>
        <w:t>d</w:t>
      </w:r>
      <w:r w:rsidRPr="00EE398B">
        <w:rPr>
          <w:rFonts w:ascii="Times New Roman" w:eastAsia="Calibri" w:hAnsi="Times New Roman" w:cs="Times New Roman"/>
          <w:sz w:val="22"/>
        </w:rPr>
        <w:t xml:space="preserve"> relate </w:t>
      </w:r>
      <w:r w:rsidR="00EE398B">
        <w:rPr>
          <w:rFonts w:ascii="Times New Roman" w:eastAsia="Calibri" w:hAnsi="Times New Roman" w:cs="Times New Roman"/>
          <w:sz w:val="22"/>
        </w:rPr>
        <w:t>the</w:t>
      </w:r>
      <w:r w:rsidRPr="00EE398B">
        <w:rPr>
          <w:rFonts w:ascii="Times New Roman" w:eastAsia="Calibri" w:hAnsi="Times New Roman" w:cs="Times New Roman"/>
          <w:sz w:val="22"/>
        </w:rPr>
        <w:t xml:space="preserve"> data with each of the different Broadberry’s changes to Kuznets’ MEG characteristics.</w:t>
      </w:r>
    </w:p>
    <w:p w14:paraId="023F6A1F" w14:textId="4AC7405D" w:rsidR="005D5AA9" w:rsidRPr="005D5AA9" w:rsidRDefault="005D5AA9" w:rsidP="005D5AA9">
      <w:pPr>
        <w:numPr>
          <w:ilvl w:val="0"/>
          <w:numId w:val="2"/>
        </w:numPr>
        <w:spacing w:after="160" w:line="360" w:lineRule="auto"/>
        <w:contextualSpacing/>
        <w:rPr>
          <w:rFonts w:ascii="Times New Roman" w:eastAsia="Calibri" w:hAnsi="Times New Roman" w:cs="Times New Roman"/>
          <w:sz w:val="22"/>
        </w:rPr>
      </w:pPr>
      <w:r w:rsidRPr="005D5AA9">
        <w:rPr>
          <w:rFonts w:ascii="Times New Roman" w:eastAsia="Calibri" w:hAnsi="Times New Roman" w:cs="Times New Roman"/>
          <w:sz w:val="22"/>
        </w:rPr>
        <w:lastRenderedPageBreak/>
        <w:t xml:space="preserve">Describe and discuss some of the methods/models utilised </w:t>
      </w:r>
      <w:r w:rsidR="00EE398B">
        <w:rPr>
          <w:rFonts w:ascii="Times New Roman" w:eastAsia="Calibri" w:hAnsi="Times New Roman" w:cs="Times New Roman"/>
          <w:sz w:val="22"/>
        </w:rPr>
        <w:t xml:space="preserve">by Broadberry </w:t>
      </w:r>
      <w:r w:rsidRPr="005D5AA9">
        <w:rPr>
          <w:rFonts w:ascii="Times New Roman" w:eastAsia="Calibri" w:hAnsi="Times New Roman" w:cs="Times New Roman"/>
          <w:sz w:val="22"/>
        </w:rPr>
        <w:t>to generate data indirectly about medieval economies.</w:t>
      </w:r>
    </w:p>
    <w:p w14:paraId="55D6D9EA" w14:textId="77777777" w:rsidR="005D5AA9" w:rsidRPr="005D5AA9" w:rsidRDefault="005D5AA9" w:rsidP="005D5AA9">
      <w:pPr>
        <w:spacing w:line="360" w:lineRule="auto"/>
        <w:ind w:left="720"/>
        <w:contextualSpacing/>
        <w:rPr>
          <w:rFonts w:ascii="Times New Roman" w:eastAsia="Calibri" w:hAnsi="Times New Roman" w:cs="Times New Roman"/>
          <w:sz w:val="22"/>
        </w:rPr>
      </w:pPr>
      <w:r w:rsidRPr="005D5AA9">
        <w:rPr>
          <w:rFonts w:ascii="Times New Roman" w:eastAsia="Calibri" w:hAnsi="Times New Roman" w:cs="Times New Roman"/>
          <w:sz w:val="22"/>
        </w:rPr>
        <w:t>.</w:t>
      </w:r>
    </w:p>
    <w:p w14:paraId="2E72B7C2" w14:textId="77777777" w:rsidR="005D5AA9" w:rsidRPr="005D5AA9" w:rsidRDefault="005D5AA9" w:rsidP="005D5AA9">
      <w:pPr>
        <w:numPr>
          <w:ilvl w:val="1"/>
          <w:numId w:val="3"/>
        </w:numPr>
        <w:spacing w:after="160" w:line="360" w:lineRule="auto"/>
        <w:contextualSpacing/>
        <w:rPr>
          <w:rFonts w:ascii="Times New Roman" w:eastAsia="Calibri" w:hAnsi="Times New Roman" w:cs="Times New Roman"/>
          <w:sz w:val="22"/>
        </w:rPr>
      </w:pPr>
      <w:r w:rsidRPr="005D5AA9">
        <w:rPr>
          <w:rFonts w:ascii="Times New Roman" w:eastAsia="Calibri" w:hAnsi="Times New Roman" w:cs="Times New Roman"/>
          <w:sz w:val="22"/>
        </w:rPr>
        <w:t>Building upon Broadberry’s reformulation of Kuznets’, discuss how the lessons he draws from history regarding sustained growth patterns, demographic transition, sustained structural transformation, market integration and institutional change may impact upon, and influence, current growth promoting economic policy.</w:t>
      </w:r>
    </w:p>
    <w:p w14:paraId="02005E7A" w14:textId="77777777" w:rsidR="005D5AA9" w:rsidRPr="005D5AA9" w:rsidRDefault="005D5AA9" w:rsidP="005D5AA9">
      <w:pPr>
        <w:spacing w:line="360" w:lineRule="auto"/>
        <w:ind w:left="360"/>
        <w:contextualSpacing/>
        <w:rPr>
          <w:rFonts w:ascii="Times New Roman" w:eastAsia="Calibri" w:hAnsi="Times New Roman" w:cs="Times New Roman"/>
          <w:sz w:val="22"/>
        </w:rPr>
      </w:pPr>
    </w:p>
    <w:sectPr w:rsidR="005D5AA9" w:rsidRPr="005D5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803BC"/>
    <w:multiLevelType w:val="multilevel"/>
    <w:tmpl w:val="3990BF6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B3770D9"/>
    <w:multiLevelType w:val="multilevel"/>
    <w:tmpl w:val="F0E89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7CA1A5E"/>
    <w:multiLevelType w:val="hybridMultilevel"/>
    <w:tmpl w:val="878203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A9"/>
    <w:rsid w:val="000D29D4"/>
    <w:rsid w:val="001E5091"/>
    <w:rsid w:val="004C213E"/>
    <w:rsid w:val="005D5AA9"/>
    <w:rsid w:val="00CF7C3B"/>
    <w:rsid w:val="00E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9A6E"/>
  <w15:chartTrackingRefBased/>
  <w15:docId w15:val="{9DE7A9E6-A8DF-4DFF-BC12-A6F2E223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D5AA9"/>
    <w:pPr>
      <w:spacing w:after="0" w:line="240" w:lineRule="auto"/>
    </w:pPr>
    <w:rPr>
      <w:rFonts w:ascii="Calibri" w:hAnsi="Calibri"/>
      <w:sz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98B"/>
    <w:rPr>
      <w:color w:val="0563C1" w:themeColor="hyperlink"/>
      <w:u w:val="single"/>
    </w:rPr>
  </w:style>
  <w:style w:type="character" w:styleId="UnresolvedMention">
    <w:name w:val="Unresolved Mention"/>
    <w:basedOn w:val="DefaultParagraphFont"/>
    <w:uiPriority w:val="99"/>
    <w:semiHidden/>
    <w:unhideWhenUsed/>
    <w:rsid w:val="00EE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Carlos Castel-Branco</cp:lastModifiedBy>
  <cp:revision>4</cp:revision>
  <dcterms:created xsi:type="dcterms:W3CDTF">2021-03-01T15:33:00Z</dcterms:created>
  <dcterms:modified xsi:type="dcterms:W3CDTF">2021-03-05T04:01:00Z</dcterms:modified>
</cp:coreProperties>
</file>